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1" w:rsidRPr="001E7923" w:rsidRDefault="00210141" w:rsidP="00210141">
      <w:pPr>
        <w:jc w:val="center"/>
        <w:rPr>
          <w:rFonts w:eastAsia="Times New Roman"/>
          <w:bCs/>
          <w:color w:val="000000"/>
          <w:kern w:val="36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kern w:val="36"/>
          <w:sz w:val="32"/>
          <w:szCs w:val="32"/>
          <w:u w:val="single"/>
        </w:rPr>
        <w:t>Executive Summary</w:t>
      </w:r>
    </w:p>
    <w:p w:rsidR="00210141" w:rsidRPr="006026BE" w:rsidRDefault="00210141" w:rsidP="00210141">
      <w:pPr>
        <w:rPr>
          <w:rFonts w:eastAsia="Times New Roman"/>
        </w:rPr>
      </w:pPr>
    </w:p>
    <w:p w:rsidR="00210141" w:rsidRDefault="00210141" w:rsidP="00210141">
      <w:pPr>
        <w:jc w:val="both"/>
        <w:rPr>
          <w:color w:val="000000"/>
        </w:rPr>
      </w:pPr>
      <w:r>
        <w:rPr>
          <w:color w:val="000000"/>
        </w:rPr>
        <w:t>In 2018, the Occupational Licensing Advisory Commission was formed and set out</w:t>
      </w:r>
      <w:r w:rsidRPr="006026BE">
        <w:rPr>
          <w:color w:val="000000"/>
        </w:rPr>
        <w:t xml:space="preserve"> to conduct a comprehensive review </w:t>
      </w:r>
      <w:r>
        <w:rPr>
          <w:color w:val="000000"/>
        </w:rPr>
        <w:t xml:space="preserve">of </w:t>
      </w:r>
      <w:r w:rsidRPr="006026BE">
        <w:rPr>
          <w:color w:val="000000"/>
        </w:rPr>
        <w:t>Oklahoma</w:t>
      </w:r>
      <w:r>
        <w:rPr>
          <w:color w:val="000000"/>
        </w:rPr>
        <w:t>’s occupational licenses</w:t>
      </w:r>
      <w:r w:rsidRPr="006026BE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Pr="006026BE">
        <w:rPr>
          <w:color w:val="000000"/>
        </w:rPr>
        <w:t xml:space="preserve">provide recommendations to the Governor </w:t>
      </w:r>
      <w:r>
        <w:rPr>
          <w:color w:val="000000"/>
        </w:rPr>
        <w:t>and Legislature. The Commission’s review maintained that the</w:t>
      </w:r>
      <w:r w:rsidRPr="00CC37EC">
        <w:rPr>
          <w:color w:val="000000"/>
        </w:rPr>
        <w:t xml:space="preserve"> state’s role should be striving to achieve a balance between free market principles, protecting public safety, and reducing barriers to </w:t>
      </w:r>
      <w:r>
        <w:rPr>
          <w:color w:val="000000"/>
        </w:rPr>
        <w:t>entry in the workforce</w:t>
      </w:r>
      <w:r w:rsidRPr="00CC37EC">
        <w:rPr>
          <w:color w:val="000000"/>
        </w:rPr>
        <w:t>.</w:t>
      </w:r>
    </w:p>
    <w:p w:rsidR="00210141" w:rsidRDefault="00210141" w:rsidP="00210141">
      <w:pPr>
        <w:jc w:val="both"/>
        <w:rPr>
          <w:color w:val="000000"/>
        </w:rPr>
      </w:pPr>
    </w:p>
    <w:p w:rsidR="00210141" w:rsidRDefault="00210141" w:rsidP="00210141">
      <w:pPr>
        <w:jc w:val="both"/>
        <w:rPr>
          <w:color w:val="000000"/>
        </w:rPr>
      </w:pPr>
      <w:r>
        <w:rPr>
          <w:color w:val="000000"/>
        </w:rPr>
        <w:t>The Commission examined 28 licenses under 15 different boards for the first set of recommendations, which include:</w:t>
      </w:r>
    </w:p>
    <w:p w:rsidR="00210141" w:rsidRDefault="00210141" w:rsidP="00210141">
      <w:pPr>
        <w:jc w:val="both"/>
        <w:rPr>
          <w:color w:val="000000"/>
        </w:rPr>
      </w:pPr>
      <w:r w:rsidRPr="002101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160655</wp:posOffset>
                </wp:positionV>
                <wp:extent cx="9715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41" w:rsidRPr="00210141" w:rsidRDefault="00210141" w:rsidP="00210141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210141">
                              <w:rPr>
                                <w:color w:val="C00000"/>
                              </w:rPr>
                              <w:t>SB 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65pt;width:76.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" stroked="f">
                <v:textbox>
                  <w:txbxContent>
                    <w:p w:rsidR="00210141" w:rsidRPr="00210141" w:rsidRDefault="00210141" w:rsidP="00210141">
                      <w:pPr>
                        <w:jc w:val="right"/>
                        <w:rPr>
                          <w:color w:val="C00000"/>
                        </w:rPr>
                      </w:pPr>
                      <w:r w:rsidRPr="00210141">
                        <w:rPr>
                          <w:color w:val="C00000"/>
                        </w:rPr>
                        <w:t>SB 670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1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5C42A" wp14:editId="4D535BF2">
                <wp:simplePos x="0" y="0"/>
                <wp:positionH relativeFrom="page">
                  <wp:posOffset>57150</wp:posOffset>
                </wp:positionH>
                <wp:positionV relativeFrom="paragraph">
                  <wp:posOffset>290830</wp:posOffset>
                </wp:positionV>
                <wp:extent cx="971550" cy="2762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41" w:rsidRPr="00210141" w:rsidRDefault="00210141" w:rsidP="00210141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210141">
                              <w:rPr>
                                <w:color w:val="C00000"/>
                              </w:rPr>
                              <w:t>HB 1373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55C42A" id="_x0000_s1027" type="#_x0000_t202" style="position:absolute;left:0;text-align:left;margin-left:4.5pt;margin-top:22.9pt;width:76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" stroked="f">
                <v:textbox>
                  <w:txbxContent>
                    <w:p w:rsidR="00210141" w:rsidRPr="00210141" w:rsidRDefault="00210141" w:rsidP="00210141">
                      <w:pPr>
                        <w:jc w:val="right"/>
                        <w:rPr>
                          <w:color w:val="C00000"/>
                        </w:rPr>
                      </w:pPr>
                      <w:r w:rsidRPr="00210141">
                        <w:rPr>
                          <w:color w:val="C00000"/>
                        </w:rPr>
                        <w:t>HB 1373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7126">
        <w:rPr>
          <w:rFonts w:ascii="Times New Roman" w:hAnsi="Times New Roman" w:cs="Times New Roman"/>
          <w:sz w:val="24"/>
          <w:szCs w:val="24"/>
        </w:rPr>
        <w:t>Licensing reform for military members and their spouses inc</w:t>
      </w:r>
      <w:r>
        <w:rPr>
          <w:rFonts w:ascii="Times New Roman" w:hAnsi="Times New Roman" w:cs="Times New Roman"/>
          <w:sz w:val="24"/>
          <w:szCs w:val="24"/>
        </w:rPr>
        <w:t>luding exemptions, service hour</w:t>
      </w:r>
      <w:r w:rsidRPr="00AF7126">
        <w:rPr>
          <w:rFonts w:ascii="Times New Roman" w:hAnsi="Times New Roman" w:cs="Times New Roman"/>
          <w:sz w:val="24"/>
          <w:szCs w:val="24"/>
        </w:rPr>
        <w:t xml:space="preserve"> recognition, and reciprocity;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126">
        <w:rPr>
          <w:rFonts w:ascii="Times New Roman" w:hAnsi="Times New Roman" w:cs="Times New Roman"/>
          <w:sz w:val="24"/>
          <w:szCs w:val="24"/>
        </w:rPr>
        <w:t>Allowing criminal offenders to more easily obtain a license;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126">
        <w:rPr>
          <w:rFonts w:ascii="Times New Roman" w:hAnsi="Times New Roman" w:cs="Times New Roman"/>
          <w:sz w:val="24"/>
          <w:szCs w:val="24"/>
        </w:rPr>
        <w:t>Consolidating comparable commissions;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1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55C42A" wp14:editId="4D535BF2">
                <wp:simplePos x="0" y="0"/>
                <wp:positionH relativeFrom="page">
                  <wp:align>left</wp:align>
                </wp:positionH>
                <wp:positionV relativeFrom="paragraph">
                  <wp:posOffset>144145</wp:posOffset>
                </wp:positionV>
                <wp:extent cx="971550" cy="276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41" w:rsidRPr="00CC654A" w:rsidRDefault="00210141" w:rsidP="00210141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CC654A">
                              <w:rPr>
                                <w:color w:val="C00000"/>
                              </w:rPr>
                              <w:t>*SB 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55C42A" id="_x0000_s1028" type="#_x0000_t202" style="position:absolute;left:0;text-align:left;margin-left:0;margin-top:11.35pt;width:76.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" stroked="f">
                <v:textbox>
                  <w:txbxContent>
                    <w:p w:rsidR="00210141" w:rsidRPr="00CC654A" w:rsidRDefault="00210141" w:rsidP="00210141">
                      <w:pPr>
                        <w:jc w:val="right"/>
                        <w:rPr>
                          <w:color w:val="C00000"/>
                        </w:rPr>
                      </w:pPr>
                      <w:r w:rsidRPr="00CC654A">
                        <w:rPr>
                          <w:color w:val="C00000"/>
                        </w:rPr>
                        <w:t>*</w:t>
                      </w:r>
                      <w:r w:rsidRPr="00CC654A">
                        <w:rPr>
                          <w:color w:val="C00000"/>
                        </w:rPr>
                        <w:t>S</w:t>
                      </w:r>
                      <w:r w:rsidRPr="00CC654A">
                        <w:rPr>
                          <w:color w:val="C00000"/>
                        </w:rPr>
                        <w:t>B 664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7126">
        <w:rPr>
          <w:rFonts w:ascii="Times New Roman" w:hAnsi="Times New Roman" w:cs="Times New Roman"/>
          <w:sz w:val="24"/>
          <w:szCs w:val="24"/>
        </w:rPr>
        <w:t>Eliminating the Public Accountant license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126">
        <w:rPr>
          <w:rFonts w:ascii="Times New Roman" w:hAnsi="Times New Roman" w:cs="Times New Roman"/>
          <w:sz w:val="24"/>
          <w:szCs w:val="24"/>
        </w:rPr>
        <w:t>Eliminating the Alarm, Locksmith, and Fire Sprinkler Manager and Salesperson license;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1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55C42A" wp14:editId="4D535BF2">
                <wp:simplePos x="0" y="0"/>
                <wp:positionH relativeFrom="page">
                  <wp:align>left</wp:align>
                </wp:positionH>
                <wp:positionV relativeFrom="paragraph">
                  <wp:posOffset>281305</wp:posOffset>
                </wp:positionV>
                <wp:extent cx="971550" cy="276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41" w:rsidRPr="00CC654A" w:rsidRDefault="00210141" w:rsidP="00210141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CC654A">
                              <w:rPr>
                                <w:color w:val="C00000"/>
                              </w:rPr>
                              <w:t>HB 1094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55C42A" id="_x0000_s1029" type="#_x0000_t202" style="position:absolute;left:0;text-align:left;margin-left:0;margin-top:22.15pt;width:76.5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" stroked="f">
                <v:textbox>
                  <w:txbxContent>
                    <w:p w:rsidR="00210141" w:rsidRPr="00CC654A" w:rsidRDefault="00210141" w:rsidP="00210141">
                      <w:pPr>
                        <w:jc w:val="right"/>
                        <w:rPr>
                          <w:color w:val="C00000"/>
                        </w:rPr>
                      </w:pPr>
                      <w:r w:rsidRPr="00CC654A">
                        <w:rPr>
                          <w:color w:val="C00000"/>
                        </w:rPr>
                        <w:t>HB 1094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Continue studying</w:t>
      </w:r>
      <w:r w:rsidRPr="00AF7126">
        <w:rPr>
          <w:rFonts w:ascii="Times New Roman" w:hAnsi="Times New Roman" w:cs="Times New Roman"/>
          <w:sz w:val="24"/>
          <w:szCs w:val="24"/>
        </w:rPr>
        <w:t xml:space="preserve"> the Home Inspector and Music Therapist licen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AF7126">
        <w:rPr>
          <w:rFonts w:ascii="Times New Roman" w:hAnsi="Times New Roman" w:cs="Times New Roman"/>
          <w:sz w:val="24"/>
          <w:szCs w:val="24"/>
        </w:rPr>
        <w:t>;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126">
        <w:rPr>
          <w:rFonts w:ascii="Times New Roman" w:hAnsi="Times New Roman" w:cs="Times New Roman"/>
          <w:sz w:val="24"/>
          <w:szCs w:val="24"/>
        </w:rPr>
        <w:t>Continue examining license hierarchies in the areas of Cosmetology and Nursing;</w:t>
      </w:r>
    </w:p>
    <w:p w:rsidR="00210141" w:rsidRPr="00AF7126" w:rsidRDefault="00210141" w:rsidP="0021014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126">
        <w:rPr>
          <w:rFonts w:ascii="Times New Roman" w:hAnsi="Times New Roman" w:cs="Times New Roman"/>
          <w:sz w:val="24"/>
          <w:szCs w:val="24"/>
        </w:rPr>
        <w:t>Eliminate the Motor Vehicle and Used Motor Vehicle Salesperson license;</w:t>
      </w:r>
    </w:p>
    <w:p w:rsidR="00210141" w:rsidRPr="006026BE" w:rsidRDefault="00210141" w:rsidP="00210141">
      <w:pPr>
        <w:jc w:val="both"/>
        <w:rPr>
          <w:rFonts w:eastAsia="Times New Roman"/>
        </w:rPr>
      </w:pPr>
    </w:p>
    <w:p w:rsidR="00210141" w:rsidRPr="006026BE" w:rsidRDefault="00210141" w:rsidP="00210141">
      <w:pPr>
        <w:jc w:val="both"/>
      </w:pPr>
      <w:r w:rsidRPr="006026BE">
        <w:rPr>
          <w:color w:val="000000"/>
        </w:rPr>
        <w:t xml:space="preserve">After considerable work and input from </w:t>
      </w:r>
      <w:r>
        <w:rPr>
          <w:color w:val="000000"/>
        </w:rPr>
        <w:t>Commission</w:t>
      </w:r>
      <w:r w:rsidRPr="006026BE">
        <w:rPr>
          <w:color w:val="000000"/>
        </w:rPr>
        <w:t xml:space="preserve"> members</w:t>
      </w:r>
      <w:r>
        <w:rPr>
          <w:color w:val="000000"/>
        </w:rPr>
        <w:t>, various stakeholders,</w:t>
      </w:r>
      <w:r w:rsidRPr="006026BE">
        <w:rPr>
          <w:color w:val="000000"/>
        </w:rPr>
        <w:t xml:space="preserve"> and the public, the </w:t>
      </w:r>
      <w:r>
        <w:rPr>
          <w:color w:val="000000"/>
        </w:rPr>
        <w:t>Commission</w:t>
      </w:r>
      <w:r w:rsidRPr="006026BE">
        <w:rPr>
          <w:color w:val="000000"/>
        </w:rPr>
        <w:t xml:space="preserve"> created this report which will provide their findings and suggestions derived from their efforts over the past </w:t>
      </w:r>
      <w:r>
        <w:rPr>
          <w:color w:val="000000"/>
        </w:rPr>
        <w:t>few months</w:t>
      </w:r>
      <w:r w:rsidRPr="006026BE">
        <w:rPr>
          <w:color w:val="000000"/>
        </w:rPr>
        <w:t>.</w:t>
      </w:r>
    </w:p>
    <w:p w:rsidR="00210141" w:rsidRDefault="00210141" w:rsidP="00210141">
      <w:pPr>
        <w:pStyle w:val="Body"/>
        <w:jc w:val="center"/>
        <w:rPr>
          <w:rFonts w:ascii="Times New Roman"/>
          <w:b/>
          <w:bCs/>
          <w:sz w:val="26"/>
          <w:szCs w:val="26"/>
          <w:u w:val="single"/>
        </w:rPr>
      </w:pPr>
    </w:p>
    <w:p w:rsidR="003F4604" w:rsidRDefault="003F4604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/>
    <w:p w:rsidR="00210141" w:rsidRDefault="00210141">
      <w:r>
        <w:t>*SB 664 updates definitions in the Alarm, Locksmith, and Fire Sprinkler Act that would allow for future license changes through the administrative rules process</w:t>
      </w:r>
    </w:p>
    <w:sectPr w:rsidR="002101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B0" w:rsidRDefault="001D06B0" w:rsidP="00210141">
      <w:r>
        <w:separator/>
      </w:r>
    </w:p>
  </w:endnote>
  <w:endnote w:type="continuationSeparator" w:id="0">
    <w:p w:rsidR="001D06B0" w:rsidRDefault="001D06B0" w:rsidP="002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75823"/>
      <w:docPartObj>
        <w:docPartGallery w:val="Page Numbers (Margins)"/>
        <w:docPartUnique/>
      </w:docPartObj>
    </w:sdtPr>
    <w:sdtEndPr/>
    <w:sdtContent>
      <w:p w:rsidR="00210141" w:rsidRDefault="00210141" w:rsidP="0021014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E360F5" wp14:editId="1C0B618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141" w:rsidRDefault="00210141" w:rsidP="0021014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6758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E360F5" id="Rectangle 2" o:spid="_x0000_s1030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GB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zl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B8nUYG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210141" w:rsidRDefault="00210141" w:rsidP="0021014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6758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210141" w:rsidRDefault="00210141" w:rsidP="00210141"/>
  <w:p w:rsidR="00210141" w:rsidRDefault="00210141" w:rsidP="00210141">
    <w:pPr>
      <w:pStyle w:val="Footer"/>
    </w:pPr>
  </w:p>
  <w:p w:rsidR="00210141" w:rsidRDefault="00210141" w:rsidP="00210141"/>
  <w:p w:rsidR="00210141" w:rsidRDefault="00210141" w:rsidP="00210141">
    <w:pPr>
      <w:pStyle w:val="Footer"/>
      <w:jc w:val="center"/>
    </w:pPr>
    <w:r>
      <w:t xml:space="preserve">Occupational Licensing Advisory Commission                                    </w:t>
    </w:r>
  </w:p>
  <w:p w:rsidR="00210141" w:rsidRDefault="00210141" w:rsidP="00210141">
    <w:pPr>
      <w:pStyle w:val="Footer"/>
      <w:jc w:val="center"/>
    </w:pPr>
    <w:r>
      <w:t>2019 Report and Recommendations</w:t>
    </w:r>
  </w:p>
  <w:p w:rsidR="00210141" w:rsidRDefault="0021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B0" w:rsidRDefault="001D06B0" w:rsidP="00210141">
      <w:r>
        <w:separator/>
      </w:r>
    </w:p>
  </w:footnote>
  <w:footnote w:type="continuationSeparator" w:id="0">
    <w:p w:rsidR="001D06B0" w:rsidRDefault="001D06B0" w:rsidP="0021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2AF9"/>
    <w:multiLevelType w:val="hybridMultilevel"/>
    <w:tmpl w:val="A468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1"/>
    <w:rsid w:val="001D06B0"/>
    <w:rsid w:val="00210141"/>
    <w:rsid w:val="003F4604"/>
    <w:rsid w:val="00567587"/>
    <w:rsid w:val="00C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015D6-1C5C-423C-BF1E-920336D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01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0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2101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10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4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10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41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10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41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4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4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Foss</dc:creator>
  <cp:keywords/>
  <dc:description/>
  <cp:lastModifiedBy>Jake Lowrey</cp:lastModifiedBy>
  <cp:revision>2</cp:revision>
  <dcterms:created xsi:type="dcterms:W3CDTF">2019-05-01T21:51:00Z</dcterms:created>
  <dcterms:modified xsi:type="dcterms:W3CDTF">2019-05-01T21:51:00Z</dcterms:modified>
</cp:coreProperties>
</file>